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314" w:type="dxa"/>
        <w:tblLayout w:type="fixed"/>
        <w:tblLook w:val="01E0"/>
      </w:tblPr>
      <w:tblGrid>
        <w:gridCol w:w="2494"/>
        <w:gridCol w:w="1133"/>
        <w:gridCol w:w="3400"/>
        <w:gridCol w:w="1587"/>
        <w:gridCol w:w="1700"/>
      </w:tblGrid>
      <w:tr w:rsidR="003B10C6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3B10C6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3B10C6">
        <w:tc>
          <w:tcPr>
            <w:tcW w:w="861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3B10C6"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3B10C6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453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5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3"/>
            </w:tblGrid>
            <w:tr w:rsidR="003B10C6">
              <w:trPr>
                <w:jc w:val="center"/>
              </w:trPr>
              <w:tc>
                <w:tcPr>
                  <w:tcW w:w="45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0C6" w:rsidRDefault="00E12BB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2025 г.</w:t>
                  </w:r>
                </w:p>
              </w:tc>
            </w:tr>
          </w:tbl>
          <w:p w:rsidR="003B10C6" w:rsidRDefault="003B10C6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01.01.2025</w:t>
            </w:r>
          </w:p>
        </w:tc>
      </w:tr>
      <w:tr w:rsidR="003B10C6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3B10C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0C6" w:rsidRDefault="003B10C6">
                  <w:pPr>
                    <w:spacing w:line="1" w:lineRule="auto"/>
                    <w:jc w:val="center"/>
                  </w:pPr>
                </w:p>
              </w:tc>
            </w:tr>
          </w:tbl>
          <w:p w:rsidR="003B10C6" w:rsidRDefault="003B10C6">
            <w:pPr>
              <w:spacing w:line="1" w:lineRule="auto"/>
            </w:pPr>
          </w:p>
        </w:tc>
      </w:tr>
      <w:tr w:rsidR="003B10C6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</w:tr>
      <w:tr w:rsidR="003B10C6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  <w:jc w:val="center"/>
            </w:pPr>
          </w:p>
        </w:tc>
      </w:tr>
      <w:tr w:rsidR="003B10C6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  <w:jc w:val="center"/>
            </w:pPr>
          </w:p>
        </w:tc>
      </w:tr>
      <w:tr w:rsidR="003B10C6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  <w:jc w:val="center"/>
            </w:pPr>
          </w:p>
        </w:tc>
      </w:tr>
      <w:tr w:rsidR="003B10C6">
        <w:trPr>
          <w:trHeight w:val="680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E1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3B10C6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  <w:jc w:val="center"/>
            </w:pPr>
          </w:p>
        </w:tc>
      </w:tr>
      <w:tr w:rsidR="003B10C6">
        <w:trPr>
          <w:trHeight w:val="226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Бюджет </w:t>
            </w:r>
            <w:proofErr w:type="spellStart"/>
            <w:r>
              <w:rPr>
                <w:color w:val="000000"/>
                <w:sz w:val="28"/>
                <w:szCs w:val="28"/>
                <w:u w:val="single"/>
              </w:rPr>
              <w:t>Кааламского</w:t>
            </w:r>
            <w:proofErr w:type="spellEnd"/>
            <w:r>
              <w:rPr>
                <w:color w:val="000000"/>
                <w:sz w:val="28"/>
                <w:szCs w:val="28"/>
                <w:u w:val="single"/>
              </w:rPr>
              <w:t xml:space="preserve"> сельского поселения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  <w:jc w:val="center"/>
            </w:pPr>
          </w:p>
        </w:tc>
      </w:tr>
      <w:tr w:rsidR="003B10C6"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3B10C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0C6" w:rsidRDefault="00E12BB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86610411</w:t>
                  </w:r>
                </w:p>
              </w:tc>
            </w:tr>
          </w:tbl>
          <w:p w:rsidR="003B10C6" w:rsidRDefault="003B10C6">
            <w:pPr>
              <w:spacing w:line="1" w:lineRule="auto"/>
            </w:pPr>
          </w:p>
        </w:tc>
      </w:tr>
      <w:tr w:rsidR="003B10C6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3B10C6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0C6" w:rsidRDefault="00E12BB1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3B10C6" w:rsidRDefault="003B10C6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spacing w:line="1" w:lineRule="auto"/>
              <w:jc w:val="center"/>
            </w:pPr>
          </w:p>
        </w:tc>
      </w:tr>
      <w:tr w:rsidR="003B10C6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3B10C6">
            <w:pPr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3B10C6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0C6" w:rsidRDefault="00E12BB1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3B10C6" w:rsidRDefault="003B10C6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0C6" w:rsidRDefault="00E12B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3B10C6" w:rsidRDefault="003B10C6">
      <w:pPr>
        <w:rPr>
          <w:vanish/>
        </w:rPr>
      </w:pPr>
      <w:bookmarkStart w:id="1" w:name="__bookmark_3"/>
      <w:bookmarkEnd w:id="1"/>
    </w:p>
    <w:tbl>
      <w:tblPr>
        <w:tblOverlap w:val="never"/>
        <w:tblW w:w="10314" w:type="dxa"/>
        <w:tblLayout w:type="fixed"/>
        <w:tblLook w:val="01E0"/>
      </w:tblPr>
      <w:tblGrid>
        <w:gridCol w:w="2494"/>
        <w:gridCol w:w="1133"/>
        <w:gridCol w:w="566"/>
        <w:gridCol w:w="2834"/>
        <w:gridCol w:w="1587"/>
        <w:gridCol w:w="1700"/>
      </w:tblGrid>
      <w:tr w:rsidR="003B10C6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E12B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3B10C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3B10C6">
            <w:pPr>
              <w:spacing w:line="1" w:lineRule="auto"/>
              <w:jc w:val="center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3B10C6">
            <w:pPr>
              <w:spacing w:line="1" w:lineRule="auto"/>
              <w:jc w:val="center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3B10C6">
            <w:pPr>
              <w:spacing w:line="1" w:lineRule="auto"/>
              <w:jc w:val="center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3B10C6">
            <w:pPr>
              <w:spacing w:line="1" w:lineRule="auto"/>
              <w:jc w:val="center"/>
            </w:pPr>
          </w:p>
        </w:tc>
      </w:tr>
      <w:tr w:rsidR="003B10C6">
        <w:trPr>
          <w:trHeight w:val="322"/>
        </w:trPr>
        <w:tc>
          <w:tcPr>
            <w:tcW w:w="10314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E12B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:rsidR="003B10C6" w:rsidRDefault="00E12BB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314"/>
            </w:tblGrid>
            <w:tr w:rsidR="003B10C6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Структуру органа местного самоуправления КСП составляют: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1)  Совет КСП - представительный орган;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2)  Глава КСП - высшее должностное лицо;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3) Администрация КСП - исполнительно-распорядительный орган.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Администрация КСП создана для решения вопросов местного значения и для осуществления государственных полномочий, переданных органам местного самоуправления федеральными законами и законами Республики Карелия. 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Администрация осуществляет полномочия получателя, главного распорядителя бюджетных средств, а также главного администратора источников финансирования дефицита бюджета, главного администратора доходов бюджета.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Фактическая численность работников  администрации на конец отчетного года составила 4.7 человека. Из них глава поселения- 1ед.,  муниципальные служащие – 2.8 ед. и 0,9 ед. по исполнению полномочий по первичному воинскому учету (за счет средств субвенций из ФБ).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Администрация КСП является учредителем  МБУК "Вдохновение", основным направлением  является организация досуга и обеспечение жителей поселения услугами культуры.</w:t>
                  </w:r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Штатная численность работников культуры  составляла  2,5 ед.,  Среднесписочная  численность основного персонала -2,5 ед.   </w:t>
                  </w:r>
                </w:p>
              </w:tc>
            </w:tr>
          </w:tbl>
          <w:p w:rsidR="003B10C6" w:rsidRDefault="00E12BB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3B10C6">
        <w:trPr>
          <w:trHeight w:val="322"/>
        </w:trPr>
        <w:tc>
          <w:tcPr>
            <w:tcW w:w="10314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E12B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2 "Результаты деятельности субъекта бюджетной отчетности"</w:t>
            </w:r>
          </w:p>
          <w:p w:rsidR="003B10C6" w:rsidRDefault="00E12BB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314"/>
            </w:tblGrid>
            <w:tr w:rsidR="003B10C6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3B10C6" w:rsidRDefault="00E12BB1">
                  <w:pPr>
                    <w:spacing w:before="190" w:after="190"/>
                    <w:jc w:val="both"/>
                  </w:pP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Исполнение бюджета КСП  осуществлялось в соответствии с  Решением Совета КСП от 09 ноября 2023 года   «О бюджете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Кааламского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сельского поселения на 2024 год и на плановый период 2025-2026 годы» с последующими Решениями о внесении изменений  от 25.06.2024 №38 и от 01.08.2024 №42, связанные с увеличением финансирования из бюджета Республики Карелия и увеличением налогового потенциала доходной части бюджета поселения</w:t>
                  </w:r>
                  <w:proofErr w:type="gramEnd"/>
                </w:p>
              </w:tc>
            </w:tr>
          </w:tbl>
          <w:p w:rsidR="003B10C6" w:rsidRDefault="00E12BB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3B10C6">
        <w:trPr>
          <w:trHeight w:val="322"/>
        </w:trPr>
        <w:tc>
          <w:tcPr>
            <w:tcW w:w="103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0C6" w:rsidRDefault="00E12B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3 "Анализ отчета об исполнении бюджета субъектом бюджетной отчетности"</w:t>
            </w:r>
          </w:p>
          <w:p w:rsidR="003B10C6" w:rsidRDefault="00E12BB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314"/>
            </w:tblGrid>
            <w:tr w:rsidR="003B10C6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3B10C6" w:rsidRDefault="00E12BB1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Исполнение доходной части бюджета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Бюджет КСП по доходам  исполнен на 77%,  при плановый показателях 27016,5 тыс. руб., - исполнение составило 22144,2 тыс. руб., из них: налоговые и неналоговые доходы – 17093,3 тыс. руб., безвозмездные поступления – 5050,9 тыс. руб. в т. ч. по следующим источникам доходов:</w:t>
                  </w:r>
                  <w:proofErr w:type="gramEnd"/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Код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101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НДФЛ. Исполнение составило 131 % - 2604,8 тыс. руб.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Код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103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Доходы от уплаты акцизов. Исполнение составило 107% - 1432,4 тыс. руб. При планировании доходов учитывались данные администратора доходов - Управления федерального казначейства.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Код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105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Единый сельхозналог. Исполнение составило 536%- 109,4 тыс. руб.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Код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106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Имущественные налоги. Исполнение по налогу на имущество ФЛ составило 88 % -755 тыс. руб.  Исполнение по земельному налогу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на  составило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98 % - 3237,7 тыс. руб. 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Код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111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Доходы от использования имущества, находящегося в муниципальной собственности. Исполнение составило 120 % -30 тыс. руб. 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Код 113 Доходы от компенсации затрат государству. Исполнение составило 107%-865,8 тыс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уб.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Код 114 Доходы от продажи материальных и нематериальных активов, в т.ч. от продажи квартир Исполнение составило 93% -4484,4 тыс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уб., от продажи спецтехники и авто 66% - 3573,8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,  от продажи земельных участков - 0%.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Исполнение Расходной  части бюджета.</w:t>
                  </w:r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0102</w:t>
                  </w:r>
                  <w:r>
                    <w:rPr>
                      <w:color w:val="000000"/>
                      <w:sz w:val="28"/>
                      <w:szCs w:val="28"/>
                    </w:rPr>
                    <w:t>  Функционирование высшего должностного лица субъекта РФ и органа местного самоуправления. При плане 6997,1 тыс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уб., исполнение составило 80% - 5637,3 тыс. руб. в т. ч. из бюджета Республики Карелия на поощрение муниципальных управленческих команд 32,1 тыс. руб. Данные расходы направлены на заработную плату и начисления на выплаты по оплате труда главе поселения, в т. ч. единовременная премия по итогам службы за 2023г, премия к юбилею в размере 2-х денежных содержаний и разовая выплата в размере 5-ти денежных содержаний по итогам службы. Неисполненные лимиты были предусмотрены на выплату 5-ти денежных содержаний по ликвидации.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0104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    Функционирование местных администраций.  При плане 5713,2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исполнение составило 68 %, в т. ч.: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3685,6 тыс. руб. - заработная   плата и начисления на оплату труда муниципальных служащих, в т. ч. из бюджета Республики Карелия на поощрение муниципальных управленческих команд 32,1 тыс. руб.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9,8  тыс. руб. – компенсация за телефон;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7,7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- Компенсация проезда  к месту использования отпуска и обратн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о(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проезд. страх.) 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0,7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– компенсация расходов на приобретение проездных билетов;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4,4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, – проезд в командировке;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11,2 тыс. руб. – проживание в командировке;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4,2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– суточные;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89,4  тыс. руб. – оказание комплекса услуг по определению поставщика;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1,1    тыс. руб.  – приобретение канц. товаров 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хоз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 товаров;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12,8  тыс. руб. – техническое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обслуживание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а/м Шкода, в т.ч. запчасти;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67,5  тыс. руб. – приобретение ГСМ АИ-95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на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 а/м Шкода;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8,3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-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оплата за 3 дня б/листов бывших сотрудников;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1,8    тыс. руб. – штрафные санкции;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2,0    тыс. руб. -  приобретение бумаги формата А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для ведения протоколов на денежные средства, полученные в виде субвенции на осуществление государственных полномочий РК по созданию и обеспечению деятельности административных комиссий израсходованы в размере 100%</w:t>
                  </w:r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0111</w:t>
                  </w:r>
                  <w:r>
                    <w:rPr>
                      <w:color w:val="000000"/>
                      <w:sz w:val="28"/>
                      <w:szCs w:val="28"/>
                    </w:rPr>
                    <w:t> Резервные фонды. В связи с отсутствием чрезвычайных ситуаций запланированные ассигнования резервного фонда в сумме 30 тыс. рублей не использовались.       </w:t>
                  </w:r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0113</w:t>
                  </w:r>
                  <w:r>
                    <w:rPr>
                      <w:color w:val="000000"/>
                      <w:sz w:val="28"/>
                      <w:szCs w:val="28"/>
                    </w:rPr>
                    <w:t> Другие общегосударственные вопросы. Другие общегосударственные расходы в т. ч. расходы по содержанию муниципального имущества при плановых назначениях 4733,4 тыс. руб. фактическое исполнение составило -3919,4 тыс. руб.  или 83 % в т. ч.: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25,2   тыс. руб. - услуги связи;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33,1   тыс. руб. -  почтовые расходы;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10,4   тыс. руб. -  расходы на коммунальные услуги;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33,6  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– электроснабжение здания администрации;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48,6   тыс. руб. – взносы на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кап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емонт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нежилых помещений 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37,4  тыс. руб. – уборка помещения;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53,1  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– изготовление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техпланов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и техпаспортов;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55,3   тыс. руб. – настройка  и обслуживание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ПО</w:t>
                  </w:r>
                  <w:proofErr w:type="gramEnd"/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28,3     тыс. руб.  - представительские расходы.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391,6  тыс. руб. –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хозтовары</w:t>
                  </w:r>
                  <w:proofErr w:type="spellEnd"/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137,1   тыс. руб. – публикация  информационных материалов в газете;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17,2 тыс. руб. – нотариальные услуги;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57,0   тыс. руб.  – кадастровые работы по оформлению ЗУ;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237,0 тыс. руб. – оценка рыночной стоимости;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135,1  тыс. руб. – оказание комплекса услуг по определению поставщика;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8,2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–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шиномонтаж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508,8  тыс. руб. -  расходы на тепло;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240,0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-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приобретение ½ доли в праве собственности на ЖД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189,2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-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ОСБ по и/листу  долг по кредиту ФЛ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20,7     тыс. руб. – земельный налог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0,2 –пеня по ул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свещению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316,8 тыс. руб. – аренда гаража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240,0 тыс. руб. –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аренда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а/м УАЗ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450,0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– аренда УДМ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32,4 тыс. руб. – интернет.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0203</w:t>
                  </w:r>
                  <w:r>
                    <w:rPr>
                      <w:color w:val="000000"/>
                      <w:sz w:val="28"/>
                      <w:szCs w:val="28"/>
                    </w:rPr>
                    <w:t> Мобилизационная и вневойсковая подготовка.  Расходы осуществлены в размере 100% и составили 535,3 тыс. руб. 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т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.ч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: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заработная плата и начисления  535,3 тыс. рублей;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0310</w:t>
                  </w:r>
                  <w:r>
                    <w:rPr>
                      <w:color w:val="000000"/>
                      <w:sz w:val="28"/>
                      <w:szCs w:val="28"/>
                    </w:rPr>
                    <w:t> Обеспечение пожарной безопасности 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Исполнение составило 50%- 26,4 тыс. руб., в т.ч. обслуживание системы пожарной сигнализации.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0409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 Дорожное хозяйство (дорожные фонды.)  При плане 1335,3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, исполнение дорожного фонда  составило 99 %   в т.ч.: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1029,0  тыс. руб. – оплата по договорам ГПХ за работы по ремонту и содержанию дорог (ямочный ремонт, выравнивание дорожного полотна, скашивание травы вдоль дорог, уборка мусора вдоль дорог,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оконавливание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,  вырубка кустарника вдоль дорог, очистка дорог от снега в зимний период), содержание 2-х автопавильонов.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 содержание и ремонт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автоспецтехники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(в части содержания и ремонта дорог):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139,5   тыс. руб. – запчасти для спецтехники,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хозтовары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156,8 тыс. руб. – приобретение ГСМ для спецтехники.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0503</w:t>
                  </w:r>
                  <w:r>
                    <w:rPr>
                      <w:color w:val="000000"/>
                      <w:sz w:val="28"/>
                      <w:szCs w:val="28"/>
                    </w:rPr>
                    <w:t> Благоустройство. 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 плановых назначениях  5091,5 тыс. руб. исполнение составило 4244,9 тыс. руб. или 83% в т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.ч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: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299,9 тыс. руб.  - оплата за уличное освещение.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Прочие мероприятия составили  1914,0 тыс. руб. из них: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647,8 тыс. руб. – приобретение материалов 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хоз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 товаров для благоустройства;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75,7 тыс. руб. – ГСМ на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автоспецтехнику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,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10,6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-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проверка смет;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25,5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– услуги вышки;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995,5 тыс. руб. – оплата договоров ГПХ (уборка территории, содержание тротуаров, пешеходных дорожек, отсыпка территории, скашивание травы, спиливание ветхих деревьев); текущий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ремонт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а/техники,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31  тыс. руб. – приобретение газонокосилки</w:t>
                  </w:r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В целях реализации мероприятий муниципальной программы КСП «Формирование современной городской среды  на территории КСП» исполнен  договор с ООО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Яккима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- строй на сумму 411,0 тыс. руб.( (устройство уличного освещения по ул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.Ц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ентральная д.27 до д.36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п.Кааламо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в рамках реализации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мероприятий по формированию современной городской среды),. в т. ч. за счет средств из бюджета РК- 3,9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 из бюджета ФБ – 383,9 тыс. руб. и средства МБ -23,2 тыс. руб.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В рамках реализации мероприятий по обеспечению комплексного развития сельских территорий исполнен МК с ООО «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Яккима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» на сумму 1620,0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в т.ч. за счет средств РК -9,6 тыс. руб. и ФБ- 945,4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МБ -15,0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ЮЛ -650,0 тыс.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– обустройство площадки для проведения уличных мероприятий со стационарной сценой в п.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Пуйккола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  <w:proofErr w:type="gramEnd"/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0707      </w:t>
                  </w:r>
                  <w:r>
                    <w:rPr>
                      <w:color w:val="000000"/>
                      <w:sz w:val="28"/>
                      <w:szCs w:val="28"/>
                    </w:rPr>
                    <w:t>Молодежная политика и оздоровление детей…  при плановых показателях 5,0 тыс. руб. исполнение составило 100 %. в том числе на проведение патриотических программ, литературно - музыкальных вечеров, мероприятий по профилактике табака-курения, алкоголизма и наркотической зависимости среди молодёжи.</w:t>
                  </w:r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0801</w:t>
                  </w:r>
                  <w:r>
                    <w:rPr>
                      <w:color w:val="000000"/>
                      <w:sz w:val="28"/>
                      <w:szCs w:val="28"/>
                    </w:rPr>
                    <w:t>    Культура и кинематография.  При плановых показателях 2640,3 тыс. рублей исполнение составило  100 %. Денежные средства направлены на  предоставление субсидии  учреждению культуры для оказания муниципальных услуг населению, в т. ч. за счет Республиканского бюджета на основании  Указа Президента РФ -  217,1 тыс. руб. (доведение средней заработной платы до целевого показателя 42601 руб.). </w:t>
                  </w:r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1102</w:t>
                  </w:r>
                  <w:r>
                    <w:rPr>
                      <w:color w:val="000000"/>
                      <w:sz w:val="28"/>
                      <w:szCs w:val="28"/>
                    </w:rPr>
                    <w:t> Массовый спорт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… П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ри плановых показателях 15,0 тыс. руб. исполнение составило 100%. </w:t>
                  </w:r>
                </w:p>
                <w:p w:rsidR="003B10C6" w:rsidRDefault="00E12BB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За счет средств бюджета отражены расходы по организации и обеспечению условий для развития на территории поселения массовой физической культуры и спорта, организации проведения официальных физкультурно-оздоровительных и спортивных мероприятий, для участия сборных команд поселения в межрайонных соревнованиях, на приобретение наградной символики.</w:t>
                  </w:r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Источники финансирования</w:t>
                  </w:r>
                </w:p>
                <w:p w:rsidR="003B10C6" w:rsidRDefault="00E12BB1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По итогам исполнения бюджета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Кааламского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  за 2024 год сложился дефицит бюджета в сумме 111,2  тыс. рублей.</w:t>
                  </w:r>
                </w:p>
              </w:tc>
            </w:tr>
          </w:tbl>
          <w:p w:rsidR="003B10C6" w:rsidRDefault="00E12BB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724650" w:rsidRDefault="00724650"/>
    <w:sectPr w:rsidR="00724650" w:rsidSect="003B10C6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0C6" w:rsidRDefault="003B10C6" w:rsidP="003B10C6">
      <w:r>
        <w:separator/>
      </w:r>
    </w:p>
  </w:endnote>
  <w:endnote w:type="continuationSeparator" w:id="0">
    <w:p w:rsidR="003B10C6" w:rsidRDefault="003B10C6" w:rsidP="003B1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B10C6">
      <w:trPr>
        <w:trHeight w:val="56"/>
      </w:trPr>
      <w:tc>
        <w:tcPr>
          <w:tcW w:w="10421" w:type="dxa"/>
        </w:tcPr>
        <w:p w:rsidR="003B10C6" w:rsidRDefault="003B10C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0C6" w:rsidRDefault="003B10C6" w:rsidP="003B10C6">
      <w:r>
        <w:separator/>
      </w:r>
    </w:p>
  </w:footnote>
  <w:footnote w:type="continuationSeparator" w:id="0">
    <w:p w:rsidR="003B10C6" w:rsidRDefault="003B10C6" w:rsidP="003B1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B10C6">
      <w:trPr>
        <w:trHeight w:val="56"/>
      </w:trPr>
      <w:tc>
        <w:tcPr>
          <w:tcW w:w="10421" w:type="dxa"/>
        </w:tcPr>
        <w:p w:rsidR="003B10C6" w:rsidRDefault="003B10C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0C6"/>
    <w:rsid w:val="003B10C6"/>
    <w:rsid w:val="00724650"/>
    <w:rsid w:val="00AD31D7"/>
    <w:rsid w:val="00E12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B10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1600</Words>
  <Characters>9124</Characters>
  <Application>Microsoft Office Word</Application>
  <DocSecurity>0</DocSecurity>
  <Lines>76</Lines>
  <Paragraphs>21</Paragraphs>
  <ScaleCrop>false</ScaleCrop>
  <Company/>
  <LinksUpToDate>false</LinksUpToDate>
  <CharactersWithSpaces>10703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derbina</dc:creator>
  <cp:lastModifiedBy>derbina</cp:lastModifiedBy>
  <cp:revision>3</cp:revision>
  <dcterms:created xsi:type="dcterms:W3CDTF">2025-04-30T07:31:00Z</dcterms:created>
  <dcterms:modified xsi:type="dcterms:W3CDTF">2025-04-30T07:36:00Z</dcterms:modified>
</cp:coreProperties>
</file>